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494" w:rsidRPr="00E74494" w:rsidRDefault="00E74494" w:rsidP="00E74494">
      <w:pPr>
        <w:widowControl/>
        <w:spacing w:after="150"/>
        <w:ind w:hanging="240"/>
        <w:jc w:val="left"/>
        <w:textAlignment w:val="baseline"/>
        <w:rPr>
          <w:rFonts w:ascii="メイリオ" w:eastAsia="メイリオ" w:hAnsi="メイリオ" w:cs="メイリオ"/>
          <w:color w:val="333333"/>
          <w:kern w:val="0"/>
          <w:sz w:val="25"/>
          <w:szCs w:val="25"/>
        </w:rPr>
      </w:pPr>
      <w:bookmarkStart w:id="0" w:name="_GoBack"/>
      <w:bookmarkEnd w:id="0"/>
      <w:r w:rsidRPr="00E74494">
        <w:rPr>
          <w:rFonts w:ascii="メイリオ" w:eastAsia="メイリオ" w:hAnsi="メイリオ" w:cs="メイリオ" w:hint="eastAsia"/>
          <w:color w:val="333333"/>
          <w:kern w:val="0"/>
          <w:sz w:val="25"/>
          <w:szCs w:val="25"/>
        </w:rPr>
        <w:t>○　包括的なメカニズム</w:t>
      </w:r>
    </w:p>
    <w:p w:rsidR="00E74494" w:rsidRPr="00E74494" w:rsidRDefault="00E74494" w:rsidP="00E74494">
      <w:pPr>
        <w:widowControl/>
        <w:spacing w:before="150" w:after="150"/>
        <w:ind w:firstLine="240"/>
        <w:jc w:val="left"/>
        <w:textAlignment w:val="baseline"/>
        <w:rPr>
          <w:rFonts w:ascii="メイリオ" w:eastAsia="メイリオ" w:hAnsi="メイリオ" w:cs="メイリオ"/>
          <w:color w:val="333333"/>
          <w:kern w:val="0"/>
          <w:sz w:val="25"/>
          <w:szCs w:val="25"/>
        </w:rPr>
      </w:pPr>
      <w:r w:rsidRPr="00E74494">
        <w:rPr>
          <w:rFonts w:ascii="メイリオ" w:eastAsia="メイリオ" w:hAnsi="メイリオ" w:cs="メイリオ" w:hint="eastAsia"/>
          <w:color w:val="333333"/>
          <w:kern w:val="0"/>
          <w:sz w:val="25"/>
          <w:szCs w:val="25"/>
        </w:rPr>
        <w:t>平素において「指針」のもとでの日米共同作業を行うためのものであり、自衛隊と米軍だけでなく、両国政府の関係機関が関与して構築される。包括的なメカニズムでは、わが国に対する武力攻撃や周辺事態に円滑かつ効果的に対応できるよう、共同作戦計画や相互協力計画についての検討などの共同作業を行う。</w:t>
      </w:r>
    </w:p>
    <w:p w:rsidR="00E74494" w:rsidRPr="00E74494" w:rsidRDefault="00E74494" w:rsidP="00E74494">
      <w:pPr>
        <w:widowControl/>
        <w:spacing w:before="150" w:after="150"/>
        <w:ind w:hanging="240"/>
        <w:jc w:val="left"/>
        <w:textAlignment w:val="baseline"/>
        <w:rPr>
          <w:rFonts w:ascii="メイリオ" w:eastAsia="メイリオ" w:hAnsi="メイリオ" w:cs="メイリオ"/>
          <w:color w:val="333333"/>
          <w:kern w:val="0"/>
          <w:sz w:val="25"/>
          <w:szCs w:val="25"/>
        </w:rPr>
      </w:pPr>
      <w:r w:rsidRPr="00E74494">
        <w:rPr>
          <w:rFonts w:ascii="メイリオ" w:eastAsia="メイリオ" w:hAnsi="メイリオ" w:cs="メイリオ" w:hint="eastAsia"/>
          <w:b/>
          <w:bCs/>
          <w:color w:val="333333"/>
          <w:kern w:val="0"/>
          <w:sz w:val="25"/>
          <w:szCs w:val="25"/>
          <w:shd w:val="clear" w:color="auto" w:fill="CCCCCC"/>
        </w:rPr>
        <w:t>参照</w:t>
      </w:r>
      <w:r w:rsidRPr="00E74494">
        <w:rPr>
          <w:rFonts w:ascii="メイリオ" w:eastAsia="メイリオ" w:hAnsi="メイリオ" w:cs="メイリオ" w:hint="eastAsia"/>
          <w:color w:val="333333"/>
          <w:kern w:val="0"/>
          <w:sz w:val="25"/>
          <w:szCs w:val="25"/>
        </w:rPr>
        <w:t>図表III-2-2-2（包括的なメカニズムの構成）</w:t>
      </w:r>
    </w:p>
    <w:p w:rsidR="00E74494" w:rsidRPr="00E74494" w:rsidRDefault="00E74494" w:rsidP="00E74494">
      <w:pPr>
        <w:widowControl/>
        <w:spacing w:before="150" w:after="300"/>
        <w:jc w:val="left"/>
        <w:textAlignment w:val="baseline"/>
        <w:rPr>
          <w:rFonts w:ascii="メイリオ" w:eastAsia="メイリオ" w:hAnsi="メイリオ" w:cs="メイリオ"/>
          <w:color w:val="333333"/>
          <w:kern w:val="0"/>
          <w:sz w:val="25"/>
          <w:szCs w:val="25"/>
        </w:rPr>
      </w:pPr>
      <w:r>
        <w:rPr>
          <w:rFonts w:ascii="メイリオ" w:eastAsia="メイリオ" w:hAnsi="メイリオ" w:cs="メイリオ"/>
          <w:noProof/>
          <w:color w:val="333333"/>
          <w:kern w:val="0"/>
          <w:sz w:val="25"/>
          <w:szCs w:val="25"/>
        </w:rPr>
        <w:drawing>
          <wp:inline distT="0" distB="0" distL="0" distR="0">
            <wp:extent cx="6613525" cy="3625850"/>
            <wp:effectExtent l="0" t="0" r="0" b="0"/>
            <wp:docPr id="2" name="図 2" descr="図表III-2-2-2　包括的なメカニズムの構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図表III-2-2-2　包括的なメカニズムの構成"/>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13525" cy="3625850"/>
                    </a:xfrm>
                    <a:prstGeom prst="rect">
                      <a:avLst/>
                    </a:prstGeom>
                    <a:noFill/>
                    <a:ln>
                      <a:noFill/>
                    </a:ln>
                  </pic:spPr>
                </pic:pic>
              </a:graphicData>
            </a:graphic>
          </wp:inline>
        </w:drawing>
      </w:r>
    </w:p>
    <w:p w:rsidR="00E74494" w:rsidRPr="00E74494" w:rsidRDefault="00E74494" w:rsidP="00E74494">
      <w:pPr>
        <w:widowControl/>
        <w:spacing w:before="150" w:after="150"/>
        <w:ind w:hanging="240"/>
        <w:jc w:val="left"/>
        <w:textAlignment w:val="baseline"/>
        <w:rPr>
          <w:rFonts w:ascii="メイリオ" w:eastAsia="メイリオ" w:hAnsi="メイリオ" w:cs="メイリオ"/>
          <w:color w:val="333333"/>
          <w:kern w:val="0"/>
          <w:sz w:val="25"/>
          <w:szCs w:val="25"/>
        </w:rPr>
      </w:pPr>
      <w:r w:rsidRPr="00E74494">
        <w:rPr>
          <w:rFonts w:ascii="メイリオ" w:eastAsia="メイリオ" w:hAnsi="メイリオ" w:cs="メイリオ" w:hint="eastAsia"/>
          <w:color w:val="333333"/>
          <w:kern w:val="0"/>
          <w:sz w:val="25"/>
          <w:szCs w:val="25"/>
        </w:rPr>
        <w:t>○　調整メカニズム</w:t>
      </w:r>
    </w:p>
    <w:p w:rsidR="00E74494" w:rsidRPr="00E74494" w:rsidRDefault="00E74494" w:rsidP="00E74494">
      <w:pPr>
        <w:widowControl/>
        <w:spacing w:before="150" w:after="150"/>
        <w:ind w:firstLine="240"/>
        <w:jc w:val="left"/>
        <w:textAlignment w:val="baseline"/>
        <w:rPr>
          <w:rFonts w:ascii="メイリオ" w:eastAsia="メイリオ" w:hAnsi="メイリオ" w:cs="メイリオ"/>
          <w:color w:val="333333"/>
          <w:kern w:val="0"/>
          <w:sz w:val="25"/>
          <w:szCs w:val="25"/>
        </w:rPr>
      </w:pPr>
      <w:r w:rsidRPr="00E74494">
        <w:rPr>
          <w:rFonts w:ascii="メイリオ" w:eastAsia="メイリオ" w:hAnsi="メイリオ" w:cs="メイリオ" w:hint="eastAsia"/>
          <w:color w:val="333333"/>
          <w:kern w:val="0"/>
          <w:sz w:val="25"/>
          <w:szCs w:val="25"/>
        </w:rPr>
        <w:lastRenderedPageBreak/>
        <w:t>わが国に対する武力攻撃や周辺事態に際して両国が行うそれぞれの活動の調整を図るため、平素から構築しておくものである。</w:t>
      </w:r>
    </w:p>
    <w:p w:rsidR="00E74494" w:rsidRPr="00E74494" w:rsidRDefault="00E74494" w:rsidP="00E74494">
      <w:pPr>
        <w:widowControl/>
        <w:spacing w:before="150" w:after="150"/>
        <w:ind w:hanging="240"/>
        <w:jc w:val="left"/>
        <w:textAlignment w:val="baseline"/>
        <w:rPr>
          <w:rFonts w:ascii="メイリオ" w:eastAsia="メイリオ" w:hAnsi="メイリオ" w:cs="メイリオ"/>
          <w:color w:val="333333"/>
          <w:kern w:val="0"/>
          <w:sz w:val="25"/>
          <w:szCs w:val="25"/>
        </w:rPr>
      </w:pPr>
      <w:r w:rsidRPr="00E74494">
        <w:rPr>
          <w:rFonts w:ascii="メイリオ" w:eastAsia="メイリオ" w:hAnsi="メイリオ" w:cs="メイリオ" w:hint="eastAsia"/>
          <w:b/>
          <w:bCs/>
          <w:color w:val="333333"/>
          <w:kern w:val="0"/>
          <w:sz w:val="25"/>
          <w:szCs w:val="25"/>
          <w:shd w:val="clear" w:color="auto" w:fill="CCCCCC"/>
        </w:rPr>
        <w:t>参照</w:t>
      </w:r>
      <w:r w:rsidRPr="00E74494">
        <w:rPr>
          <w:rFonts w:ascii="メイリオ" w:eastAsia="メイリオ" w:hAnsi="メイリオ" w:cs="メイリオ" w:hint="eastAsia"/>
          <w:color w:val="333333"/>
          <w:kern w:val="0"/>
          <w:sz w:val="25"/>
          <w:szCs w:val="25"/>
        </w:rPr>
        <w:t>図表III-2-2-3（調整メカニズムの構成）</w:t>
      </w:r>
    </w:p>
    <w:p w:rsidR="00E74494" w:rsidRPr="00E74494" w:rsidRDefault="00E74494" w:rsidP="00E74494">
      <w:pPr>
        <w:widowControl/>
        <w:spacing w:before="150" w:after="300"/>
        <w:jc w:val="left"/>
        <w:textAlignment w:val="baseline"/>
        <w:rPr>
          <w:rFonts w:ascii="メイリオ" w:eastAsia="メイリオ" w:hAnsi="メイリオ" w:cs="メイリオ"/>
          <w:color w:val="333333"/>
          <w:kern w:val="0"/>
          <w:sz w:val="25"/>
          <w:szCs w:val="25"/>
        </w:rPr>
      </w:pPr>
      <w:r>
        <w:rPr>
          <w:rFonts w:ascii="メイリオ" w:eastAsia="メイリオ" w:hAnsi="メイリオ" w:cs="メイリオ"/>
          <w:noProof/>
          <w:color w:val="333333"/>
          <w:kern w:val="0"/>
          <w:sz w:val="25"/>
          <w:szCs w:val="25"/>
        </w:rPr>
        <w:drawing>
          <wp:inline distT="0" distB="0" distL="0" distR="0">
            <wp:extent cx="6613525" cy="3572510"/>
            <wp:effectExtent l="0" t="0" r="0" b="8890"/>
            <wp:docPr id="1" name="図 1" descr="図表III-2-2-3　調整メカニズムの構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図表III-2-2-3　調整メカニズムの構成"/>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13525" cy="3572510"/>
                    </a:xfrm>
                    <a:prstGeom prst="rect">
                      <a:avLst/>
                    </a:prstGeom>
                    <a:noFill/>
                    <a:ln>
                      <a:noFill/>
                    </a:ln>
                  </pic:spPr>
                </pic:pic>
              </a:graphicData>
            </a:graphic>
          </wp:inline>
        </w:drawing>
      </w:r>
    </w:p>
    <w:p w:rsidR="00E74494" w:rsidRPr="00E74494" w:rsidRDefault="00E74494" w:rsidP="00E74494">
      <w:pPr>
        <w:widowControl/>
        <w:spacing w:before="150" w:after="150"/>
        <w:jc w:val="left"/>
        <w:textAlignment w:val="baseline"/>
        <w:rPr>
          <w:rFonts w:ascii="メイリオ" w:eastAsia="メイリオ" w:hAnsi="メイリオ" w:cs="メイリオ"/>
          <w:b/>
          <w:bCs/>
          <w:color w:val="333333"/>
          <w:kern w:val="0"/>
          <w:sz w:val="25"/>
          <w:szCs w:val="25"/>
        </w:rPr>
      </w:pPr>
      <w:r w:rsidRPr="00E74494">
        <w:rPr>
          <w:rFonts w:ascii="メイリオ" w:eastAsia="メイリオ" w:hAnsi="メイリオ" w:cs="メイリオ" w:hint="eastAsia"/>
          <w:b/>
          <w:bCs/>
          <w:color w:val="333333"/>
          <w:kern w:val="0"/>
          <w:sz w:val="25"/>
          <w:szCs w:val="25"/>
        </w:rPr>
        <w:t>ウ　「指針」の実効性を確保するための施策</w:t>
      </w:r>
    </w:p>
    <w:p w:rsidR="00E74494" w:rsidRPr="00E74494" w:rsidRDefault="00E74494" w:rsidP="00E74494">
      <w:pPr>
        <w:widowControl/>
        <w:spacing w:before="150" w:after="150"/>
        <w:ind w:hanging="240"/>
        <w:jc w:val="left"/>
        <w:textAlignment w:val="baseline"/>
        <w:rPr>
          <w:rFonts w:ascii="メイリオ" w:eastAsia="メイリオ" w:hAnsi="メイリオ" w:cs="メイリオ"/>
          <w:color w:val="333333"/>
          <w:kern w:val="0"/>
          <w:sz w:val="25"/>
          <w:szCs w:val="25"/>
        </w:rPr>
      </w:pPr>
      <w:r w:rsidRPr="00E74494">
        <w:rPr>
          <w:rFonts w:ascii="メイリオ" w:eastAsia="メイリオ" w:hAnsi="メイリオ" w:cs="メイリオ" w:hint="eastAsia"/>
          <w:color w:val="333333"/>
          <w:kern w:val="0"/>
          <w:sz w:val="25"/>
          <w:szCs w:val="25"/>
        </w:rPr>
        <w:t>（ア）「指針」の実効性確保のための措置</w:t>
      </w:r>
    </w:p>
    <w:p w:rsidR="00E74494" w:rsidRPr="00E74494" w:rsidRDefault="00E74494" w:rsidP="00E74494">
      <w:pPr>
        <w:widowControl/>
        <w:spacing w:before="150" w:after="150"/>
        <w:ind w:firstLine="240"/>
        <w:jc w:val="left"/>
        <w:textAlignment w:val="baseline"/>
        <w:rPr>
          <w:rFonts w:ascii="メイリオ" w:eastAsia="メイリオ" w:hAnsi="メイリオ" w:cs="メイリオ"/>
          <w:color w:val="333333"/>
          <w:kern w:val="0"/>
          <w:sz w:val="25"/>
          <w:szCs w:val="25"/>
        </w:rPr>
      </w:pPr>
      <w:r w:rsidRPr="00E74494">
        <w:rPr>
          <w:rFonts w:ascii="メイリオ" w:eastAsia="メイリオ" w:hAnsi="メイリオ" w:cs="メイリオ" w:hint="eastAsia"/>
          <w:color w:val="333333"/>
          <w:kern w:val="0"/>
          <w:sz w:val="25"/>
          <w:szCs w:val="25"/>
        </w:rPr>
        <w:t>「指針」の実効性を確保するためには、平素からの取組をはじめ、武力攻撃事態や周辺事態における日米協力について、法的側面を含めて必要な措置を適切に講じることが重要である。このような観点から、「指針」における</w:t>
      </w:r>
      <w:r w:rsidRPr="00E74494">
        <w:rPr>
          <w:rFonts w:ascii="メイリオ" w:eastAsia="メイリオ" w:hAnsi="メイリオ" w:cs="メイリオ" w:hint="eastAsia"/>
          <w:color w:val="333333"/>
          <w:kern w:val="0"/>
          <w:sz w:val="25"/>
          <w:szCs w:val="25"/>
        </w:rPr>
        <w:lastRenderedPageBreak/>
        <w:t>共同作戦計画や相互協力計画の検討を含む日米間の共同作業を、平素から政府全体で進めることが必要である。</w:t>
      </w:r>
    </w:p>
    <w:p w:rsidR="00E74494" w:rsidRPr="00E74494" w:rsidRDefault="00E74494" w:rsidP="00E74494">
      <w:pPr>
        <w:widowControl/>
        <w:spacing w:before="150" w:after="150"/>
        <w:ind w:firstLine="240"/>
        <w:jc w:val="left"/>
        <w:textAlignment w:val="baseline"/>
        <w:rPr>
          <w:rFonts w:ascii="メイリオ" w:eastAsia="メイリオ" w:hAnsi="メイリオ" w:cs="メイリオ"/>
          <w:color w:val="333333"/>
          <w:kern w:val="0"/>
          <w:sz w:val="25"/>
          <w:szCs w:val="25"/>
        </w:rPr>
      </w:pPr>
      <w:r w:rsidRPr="00E74494">
        <w:rPr>
          <w:rFonts w:ascii="メイリオ" w:eastAsia="メイリオ" w:hAnsi="メイリオ" w:cs="メイリオ" w:hint="eastAsia"/>
          <w:color w:val="333333"/>
          <w:kern w:val="0"/>
          <w:sz w:val="25"/>
          <w:szCs w:val="25"/>
        </w:rPr>
        <w:t>これを踏まえ、周辺事態における日米協力の観点から、99（同11）年の周辺事態安全確保法、00（同12）年の船舶検査活動法などの法制整備が行われた。</w:t>
      </w:r>
    </w:p>
    <w:p w:rsidR="00E74494" w:rsidRPr="00E74494" w:rsidRDefault="00E74494" w:rsidP="00E74494">
      <w:pPr>
        <w:widowControl/>
        <w:spacing w:before="150" w:after="150"/>
        <w:ind w:firstLine="240"/>
        <w:jc w:val="left"/>
        <w:textAlignment w:val="baseline"/>
        <w:rPr>
          <w:rFonts w:ascii="メイリオ" w:eastAsia="メイリオ" w:hAnsi="メイリオ" w:cs="メイリオ"/>
          <w:color w:val="333333"/>
          <w:kern w:val="0"/>
          <w:sz w:val="25"/>
          <w:szCs w:val="25"/>
        </w:rPr>
      </w:pPr>
      <w:r w:rsidRPr="00E74494">
        <w:rPr>
          <w:rFonts w:ascii="メイリオ" w:eastAsia="メイリオ" w:hAnsi="メイリオ" w:cs="メイリオ" w:hint="eastAsia"/>
          <w:color w:val="333333"/>
          <w:kern w:val="0"/>
          <w:sz w:val="25"/>
          <w:szCs w:val="25"/>
        </w:rPr>
        <w:t>また、武力攻撃事態等における日米協力の観点からは、有事法制整備の一環として、04（同16）年に米軍の行動の円滑化のための措置が講じられた。</w:t>
      </w:r>
    </w:p>
    <w:p w:rsidR="002B6D8F" w:rsidRPr="00E74494" w:rsidRDefault="002B6D8F"/>
    <w:sectPr w:rsidR="002B6D8F" w:rsidRPr="00E7449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494"/>
    <w:rsid w:val="002B6D8F"/>
    <w:rsid w:val="00607F08"/>
    <w:rsid w:val="00E744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d11">
    <w:name w:val="ind_11"/>
    <w:basedOn w:val="a"/>
    <w:rsid w:val="00E74494"/>
    <w:pPr>
      <w:widowControl/>
      <w:spacing w:before="150" w:after="150"/>
      <w:ind w:firstLine="240"/>
      <w:jc w:val="left"/>
      <w:textAlignment w:val="baseline"/>
    </w:pPr>
    <w:rPr>
      <w:rFonts w:ascii="ＭＳ Ｐゴシック" w:eastAsia="ＭＳ Ｐゴシック" w:hAnsi="ＭＳ Ｐゴシック" w:cs="ＭＳ Ｐゴシック"/>
      <w:kern w:val="0"/>
      <w:szCs w:val="24"/>
    </w:rPr>
  </w:style>
  <w:style w:type="paragraph" w:customStyle="1" w:styleId="ind21">
    <w:name w:val="ind_21"/>
    <w:basedOn w:val="a"/>
    <w:rsid w:val="00E74494"/>
    <w:pPr>
      <w:widowControl/>
      <w:spacing w:before="150" w:after="150"/>
      <w:ind w:hanging="240"/>
      <w:jc w:val="left"/>
      <w:textAlignment w:val="baseline"/>
    </w:pPr>
    <w:rPr>
      <w:rFonts w:ascii="ＭＳ Ｐゴシック" w:eastAsia="ＭＳ Ｐゴシック" w:hAnsi="ＭＳ Ｐゴシック" w:cs="ＭＳ Ｐゴシック"/>
      <w:kern w:val="0"/>
      <w:szCs w:val="24"/>
    </w:rPr>
  </w:style>
  <w:style w:type="paragraph" w:customStyle="1" w:styleId="fig1">
    <w:name w:val="fig1"/>
    <w:basedOn w:val="a"/>
    <w:rsid w:val="00E74494"/>
    <w:pPr>
      <w:widowControl/>
      <w:spacing w:before="150" w:after="300"/>
      <w:jc w:val="left"/>
      <w:textAlignment w:val="baseline"/>
    </w:pPr>
    <w:rPr>
      <w:rFonts w:ascii="ＭＳ Ｐゴシック" w:eastAsia="ＭＳ Ｐゴシック" w:hAnsi="ＭＳ Ｐゴシック" w:cs="ＭＳ Ｐゴシック"/>
      <w:kern w:val="0"/>
      <w:szCs w:val="24"/>
    </w:rPr>
  </w:style>
  <w:style w:type="character" w:customStyle="1" w:styleId="refdata1">
    <w:name w:val="ref_data1"/>
    <w:basedOn w:val="a0"/>
    <w:rsid w:val="00E74494"/>
    <w:rPr>
      <w:b/>
      <w:bCs/>
      <w:shd w:val="clear" w:color="auto" w:fill="CCCCCC"/>
    </w:rPr>
  </w:style>
  <w:style w:type="paragraph" w:customStyle="1" w:styleId="fontb1">
    <w:name w:val="font_b1"/>
    <w:basedOn w:val="a"/>
    <w:rsid w:val="00E74494"/>
    <w:pPr>
      <w:widowControl/>
      <w:spacing w:before="150" w:after="150"/>
      <w:jc w:val="left"/>
      <w:textAlignment w:val="baseline"/>
    </w:pPr>
    <w:rPr>
      <w:rFonts w:ascii="ＭＳ Ｐゴシック" w:eastAsia="ＭＳ Ｐゴシック" w:hAnsi="ＭＳ Ｐゴシック" w:cs="ＭＳ Ｐゴシック"/>
      <w:b/>
      <w:bCs/>
      <w:kern w:val="0"/>
      <w:szCs w:val="24"/>
    </w:rPr>
  </w:style>
  <w:style w:type="paragraph" w:styleId="a3">
    <w:name w:val="Balloon Text"/>
    <w:basedOn w:val="a"/>
    <w:link w:val="a4"/>
    <w:uiPriority w:val="99"/>
    <w:semiHidden/>
    <w:unhideWhenUsed/>
    <w:rsid w:val="00E7449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7449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d11">
    <w:name w:val="ind_11"/>
    <w:basedOn w:val="a"/>
    <w:rsid w:val="00E74494"/>
    <w:pPr>
      <w:widowControl/>
      <w:spacing w:before="150" w:after="150"/>
      <w:ind w:firstLine="240"/>
      <w:jc w:val="left"/>
      <w:textAlignment w:val="baseline"/>
    </w:pPr>
    <w:rPr>
      <w:rFonts w:ascii="ＭＳ Ｐゴシック" w:eastAsia="ＭＳ Ｐゴシック" w:hAnsi="ＭＳ Ｐゴシック" w:cs="ＭＳ Ｐゴシック"/>
      <w:kern w:val="0"/>
      <w:szCs w:val="24"/>
    </w:rPr>
  </w:style>
  <w:style w:type="paragraph" w:customStyle="1" w:styleId="ind21">
    <w:name w:val="ind_21"/>
    <w:basedOn w:val="a"/>
    <w:rsid w:val="00E74494"/>
    <w:pPr>
      <w:widowControl/>
      <w:spacing w:before="150" w:after="150"/>
      <w:ind w:hanging="240"/>
      <w:jc w:val="left"/>
      <w:textAlignment w:val="baseline"/>
    </w:pPr>
    <w:rPr>
      <w:rFonts w:ascii="ＭＳ Ｐゴシック" w:eastAsia="ＭＳ Ｐゴシック" w:hAnsi="ＭＳ Ｐゴシック" w:cs="ＭＳ Ｐゴシック"/>
      <w:kern w:val="0"/>
      <w:szCs w:val="24"/>
    </w:rPr>
  </w:style>
  <w:style w:type="paragraph" w:customStyle="1" w:styleId="fig1">
    <w:name w:val="fig1"/>
    <w:basedOn w:val="a"/>
    <w:rsid w:val="00E74494"/>
    <w:pPr>
      <w:widowControl/>
      <w:spacing w:before="150" w:after="300"/>
      <w:jc w:val="left"/>
      <w:textAlignment w:val="baseline"/>
    </w:pPr>
    <w:rPr>
      <w:rFonts w:ascii="ＭＳ Ｐゴシック" w:eastAsia="ＭＳ Ｐゴシック" w:hAnsi="ＭＳ Ｐゴシック" w:cs="ＭＳ Ｐゴシック"/>
      <w:kern w:val="0"/>
      <w:szCs w:val="24"/>
    </w:rPr>
  </w:style>
  <w:style w:type="character" w:customStyle="1" w:styleId="refdata1">
    <w:name w:val="ref_data1"/>
    <w:basedOn w:val="a0"/>
    <w:rsid w:val="00E74494"/>
    <w:rPr>
      <w:b/>
      <w:bCs/>
      <w:shd w:val="clear" w:color="auto" w:fill="CCCCCC"/>
    </w:rPr>
  </w:style>
  <w:style w:type="paragraph" w:customStyle="1" w:styleId="fontb1">
    <w:name w:val="font_b1"/>
    <w:basedOn w:val="a"/>
    <w:rsid w:val="00E74494"/>
    <w:pPr>
      <w:widowControl/>
      <w:spacing w:before="150" w:after="150"/>
      <w:jc w:val="left"/>
      <w:textAlignment w:val="baseline"/>
    </w:pPr>
    <w:rPr>
      <w:rFonts w:ascii="ＭＳ Ｐゴシック" w:eastAsia="ＭＳ Ｐゴシック" w:hAnsi="ＭＳ Ｐゴシック" w:cs="ＭＳ Ｐゴシック"/>
      <w:b/>
      <w:bCs/>
      <w:kern w:val="0"/>
      <w:szCs w:val="24"/>
    </w:rPr>
  </w:style>
  <w:style w:type="paragraph" w:styleId="a3">
    <w:name w:val="Balloon Text"/>
    <w:basedOn w:val="a"/>
    <w:link w:val="a4"/>
    <w:uiPriority w:val="99"/>
    <w:semiHidden/>
    <w:unhideWhenUsed/>
    <w:rsid w:val="00E7449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7449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737181">
      <w:bodyDiv w:val="1"/>
      <w:marLeft w:val="0"/>
      <w:marRight w:val="0"/>
      <w:marTop w:val="0"/>
      <w:marBottom w:val="0"/>
      <w:divBdr>
        <w:top w:val="none" w:sz="0" w:space="0" w:color="auto"/>
        <w:left w:val="none" w:sz="0" w:space="0" w:color="auto"/>
        <w:bottom w:val="none" w:sz="0" w:space="0" w:color="auto"/>
        <w:right w:val="none" w:sz="0" w:space="0" w:color="auto"/>
      </w:divBdr>
      <w:divsChild>
        <w:div w:id="561987876">
          <w:marLeft w:val="0"/>
          <w:marRight w:val="0"/>
          <w:marTop w:val="0"/>
          <w:marBottom w:val="0"/>
          <w:divBdr>
            <w:top w:val="none" w:sz="0" w:space="0" w:color="auto"/>
            <w:left w:val="none" w:sz="0" w:space="0" w:color="auto"/>
            <w:bottom w:val="none" w:sz="0" w:space="0" w:color="auto"/>
            <w:right w:val="none" w:sz="0" w:space="0" w:color="auto"/>
          </w:divBdr>
          <w:divsChild>
            <w:div w:id="1040663738">
              <w:marLeft w:val="0"/>
              <w:marRight w:val="0"/>
              <w:marTop w:val="0"/>
              <w:marBottom w:val="0"/>
              <w:divBdr>
                <w:top w:val="none" w:sz="0" w:space="0" w:color="auto"/>
                <w:left w:val="none" w:sz="0" w:space="0" w:color="auto"/>
                <w:bottom w:val="none" w:sz="0" w:space="0" w:color="auto"/>
                <w:right w:val="none" w:sz="0" w:space="0" w:color="auto"/>
              </w:divBdr>
              <w:divsChild>
                <w:div w:id="989554910">
                  <w:marLeft w:val="4650"/>
                  <w:marRight w:val="0"/>
                  <w:marTop w:val="0"/>
                  <w:marBottom w:val="0"/>
                  <w:divBdr>
                    <w:top w:val="none" w:sz="0" w:space="0" w:color="auto"/>
                    <w:left w:val="none" w:sz="0" w:space="0" w:color="auto"/>
                    <w:bottom w:val="none" w:sz="0" w:space="0" w:color="auto"/>
                    <w:right w:val="none" w:sz="0" w:space="0" w:color="auto"/>
                  </w:divBdr>
                  <w:divsChild>
                    <w:div w:id="160399633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2</cp:revision>
  <dcterms:created xsi:type="dcterms:W3CDTF">2014-09-29T01:51:00Z</dcterms:created>
  <dcterms:modified xsi:type="dcterms:W3CDTF">2014-09-29T01:51:00Z</dcterms:modified>
</cp:coreProperties>
</file>